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hint="eastAsia" w:ascii="方正小标宋简体" w:hAnsi="方正小标宋简体" w:eastAsia="方正小标宋简体" w:cs="方正小标宋简体"/>
          <w:sz w:val="44"/>
          <w:szCs w:val="44"/>
          <w:lang w:eastAsia="zh-CN"/>
        </w:rPr>
      </w:pPr>
      <w:bookmarkStart w:id="0" w:name="_GoBack"/>
      <w:bookmarkEnd w:id="0"/>
      <w:r>
        <w:rPr>
          <w:rFonts w:hint="eastAsia" w:ascii="方正小标宋简体" w:hAnsi="方正小标宋简体" w:eastAsia="方正小标宋简体" w:cs="方正小标宋简体"/>
          <w:sz w:val="44"/>
          <w:szCs w:val="44"/>
          <w:lang w:eastAsia="zh-CN"/>
        </w:rPr>
        <w:t>长治市住房和城乡建设局</w:t>
      </w:r>
    </w:p>
    <w:p>
      <w:pPr>
        <w:spacing w:line="600" w:lineRule="exact"/>
        <w:jc w:val="center"/>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rPr>
        <w:t>关于</w:t>
      </w:r>
      <w:r>
        <w:rPr>
          <w:rFonts w:hint="eastAsia" w:ascii="方正小标宋简体" w:hAnsi="方正小标宋简体" w:eastAsia="方正小标宋简体" w:cs="方正小标宋简体"/>
          <w:sz w:val="44"/>
          <w:szCs w:val="44"/>
          <w:lang w:eastAsia="zh-CN"/>
        </w:rPr>
        <w:t>在房屋建筑和市政基础设施工程项目</w:t>
      </w:r>
    </w:p>
    <w:p>
      <w:pPr>
        <w:spacing w:line="60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val="en-US" w:eastAsia="zh-CN"/>
        </w:rPr>
        <w:t>开展“三盲评审”工作</w:t>
      </w:r>
      <w:r>
        <w:rPr>
          <w:rFonts w:hint="eastAsia" w:ascii="方正小标宋简体" w:hAnsi="方正小标宋简体" w:eastAsia="方正小标宋简体" w:cs="方正小标宋简体"/>
          <w:sz w:val="44"/>
          <w:szCs w:val="44"/>
        </w:rPr>
        <w:t>的通知</w:t>
      </w:r>
      <w:r>
        <w:rPr>
          <w:rFonts w:hint="eastAsia" w:ascii="方正小标宋简体" w:hAnsi="方正小标宋简体" w:eastAsia="方正小标宋简体" w:cs="方正小标宋简体"/>
          <w:sz w:val="44"/>
          <w:szCs w:val="44"/>
          <w:lang w:val="en-US" w:eastAsia="zh-CN"/>
        </w:rPr>
        <w:t>（征求意见稿）</w:t>
      </w:r>
    </w:p>
    <w:p>
      <w:pPr>
        <w:spacing w:line="600" w:lineRule="exact"/>
        <w:jc w:val="center"/>
        <w:rPr>
          <w:rFonts w:hint="eastAsia" w:ascii="方正小标宋简体" w:hAnsi="方正小标宋简体" w:eastAsia="方正小标宋简体" w:cs="方正小标宋简体"/>
          <w:sz w:val="44"/>
          <w:szCs w:val="44"/>
        </w:rPr>
      </w:pPr>
    </w:p>
    <w:p>
      <w:pPr>
        <w:spacing w:line="600" w:lineRule="exact"/>
        <w:rPr>
          <w:rFonts w:ascii="方正小标宋简体" w:hAnsi="方正小标宋简体" w:eastAsia="方正小标宋简体" w:cs="方正小标宋简体"/>
          <w:sz w:val="44"/>
          <w:szCs w:val="44"/>
        </w:rPr>
      </w:pPr>
    </w:p>
    <w:p>
      <w:pPr>
        <w:spacing w:line="600" w:lineRule="exact"/>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Cs/>
          <w:sz w:val="32"/>
          <w:szCs w:val="32"/>
          <w:lang w:val="en-US" w:eastAsia="zh-CN"/>
        </w:rPr>
        <w:t>各县（区）住房和城乡建设局；各建设单位、招标代理机构、各相关企业、市公共资源交易中心：</w:t>
      </w:r>
    </w:p>
    <w:p>
      <w:pPr>
        <w:keepNext w:val="0"/>
        <w:keepLines w:val="0"/>
        <w:pageBreakBefore w:val="0"/>
        <w:kinsoku/>
        <w:wordWrap/>
        <w:overflowPunct/>
        <w:topLinePunct w:val="0"/>
        <w:autoSpaceDE/>
        <w:autoSpaceDN/>
        <w:bidi w:val="0"/>
        <w:adjustRightInd/>
        <w:snapToGrid/>
        <w:spacing w:line="570" w:lineRule="exact"/>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为深入贯彻住房和城乡建设部《关于进一步加强建筑市场监管持续优化建筑市场环境的通知》（建市规[2026]2号）要求，进一步规范房屋建筑和市政基础设施工程招投标行为，持续优化招投标营商环境，破除评标环节人情干扰、围标串标、倾向性打分等突出问题，深化招投标改革，规范招标评标行为，维护公平竞争的市场环境，保障我市经济高质量发展，经研究决定在全市依法必招房建和市政工程项目全面实施投标人“盲投”、评标专家“盲抽”、技术标“盲评”“三盲评审”制度，现就有关事项通知如下：</w:t>
      </w:r>
    </w:p>
    <w:p>
      <w:pPr>
        <w:keepNext w:val="0"/>
        <w:keepLines w:val="0"/>
        <w:pageBreakBefore w:val="0"/>
        <w:kinsoku/>
        <w:wordWrap w:val="0"/>
        <w:overflowPunct/>
        <w:topLinePunct w:val="0"/>
        <w:autoSpaceDE/>
        <w:autoSpaceDN/>
        <w:bidi w:val="0"/>
        <w:adjustRightInd/>
        <w:snapToGrid/>
        <w:spacing w:line="570" w:lineRule="exact"/>
        <w:ind w:firstLine="640" w:firstLineChars="20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一、总体要求</w:t>
      </w:r>
    </w:p>
    <w:p>
      <w:pPr>
        <w:keepNext w:val="0"/>
        <w:keepLines w:val="0"/>
        <w:pageBreakBefore w:val="0"/>
        <w:kinsoku/>
        <w:wordWrap w:val="0"/>
        <w:overflowPunct/>
        <w:topLinePunct w:val="0"/>
        <w:autoSpaceDE/>
        <w:autoSpaceDN/>
        <w:bidi w:val="0"/>
        <w:adjustRightInd/>
        <w:snapToGrid/>
        <w:spacing w:line="570" w:lineRule="exact"/>
        <w:ind w:firstLine="640" w:firstLineChars="200"/>
        <w:jc w:val="both"/>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（一）工作定义</w:t>
      </w:r>
    </w:p>
    <w:p>
      <w:pPr>
        <w:keepNext w:val="0"/>
        <w:keepLines w:val="0"/>
        <w:pageBreakBefore w:val="0"/>
        <w:kinsoku/>
        <w:wordWrap w:val="0"/>
        <w:overflowPunct/>
        <w:topLinePunct w:val="0"/>
        <w:autoSpaceDE/>
        <w:autoSpaceDN/>
        <w:bidi w:val="0"/>
        <w:adjustRightInd/>
        <w:snapToGrid/>
        <w:spacing w:line="57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“三盲评审”包含三层隔离机制：</w:t>
      </w:r>
    </w:p>
    <w:p>
      <w:pPr>
        <w:keepNext w:val="0"/>
        <w:keepLines w:val="0"/>
        <w:pageBreakBefore w:val="0"/>
        <w:kinsoku/>
        <w:wordWrap/>
        <w:overflowPunct/>
        <w:topLinePunct w:val="0"/>
        <w:autoSpaceDE/>
        <w:autoSpaceDN/>
        <w:bidi w:val="0"/>
        <w:adjustRightInd/>
        <w:snapToGrid/>
        <w:spacing w:line="570" w:lineRule="exact"/>
        <w:ind w:firstLine="640"/>
        <w:jc w:val="left"/>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 潜在投标人“盲投”</w:t>
      </w:r>
    </w:p>
    <w:p>
      <w:pPr>
        <w:keepNext w:val="0"/>
        <w:keepLines w:val="0"/>
        <w:pageBreakBefore w:val="0"/>
        <w:kinsoku/>
        <w:wordWrap/>
        <w:overflowPunct/>
        <w:topLinePunct w:val="0"/>
        <w:autoSpaceDE/>
        <w:autoSpaceDN/>
        <w:bidi w:val="0"/>
        <w:adjustRightInd/>
        <w:snapToGrid/>
        <w:spacing w:line="570" w:lineRule="exact"/>
        <w:ind w:firstLine="640"/>
        <w:jc w:val="left"/>
        <w:textAlignment w:val="auto"/>
        <w:rPr>
          <w:rFonts w:hint="default"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招标文件中应明确投标人商务文件和技术文件须分别编制、上传。将容易产生歧义、能明显区分投标供应商身份的内容放入商务文件。技术文件不得出现能够识别投标人身份信息的相关内容和标识。招标文件应在专门章节集中明确无效投标认定情形，将投标文件不按“三盲”要求编制的，认定为无效投标或施工组织设计按零分计取。潜在投标人应严格按照招标文件的要求编制投标文件，避免因投标文件编制问题被认定为无效投标。</w:t>
      </w:r>
    </w:p>
    <w:p>
      <w:pPr>
        <w:keepNext w:val="0"/>
        <w:keepLines w:val="0"/>
        <w:pageBreakBefore w:val="0"/>
        <w:kinsoku/>
        <w:wordWrap/>
        <w:overflowPunct/>
        <w:topLinePunct w:val="0"/>
        <w:autoSpaceDE/>
        <w:autoSpaceDN/>
        <w:bidi w:val="0"/>
        <w:adjustRightInd/>
        <w:snapToGrid/>
        <w:spacing w:line="57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2、评标专家盲抽：评标专家从山西省评标专家库终端系统中随机抽取，抽取过程全程加密，招标人、代理机构、投标人均无法提前获知专家身份，专家抽取信息严格保密。</w:t>
      </w:r>
    </w:p>
    <w:p>
      <w:pPr>
        <w:keepNext w:val="0"/>
        <w:keepLines w:val="0"/>
        <w:pageBreakBefore w:val="0"/>
        <w:kinsoku/>
        <w:wordWrap/>
        <w:overflowPunct/>
        <w:topLinePunct w:val="0"/>
        <w:autoSpaceDE/>
        <w:autoSpaceDN/>
        <w:bidi w:val="0"/>
        <w:adjustRightInd/>
        <w:snapToGrid/>
        <w:spacing w:line="570" w:lineRule="exact"/>
        <w:ind w:firstLine="640"/>
        <w:jc w:val="lef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3.技术标盲评（暗标）：投标文件商务标与技术标物理分离，技术标统一脱敏处理，屏蔽企业名称、LOGO、人员信息、专属标识，系统自动分配匿名编号，专家全程仅依据编号评审，无法对应投标人主体。</w:t>
      </w:r>
    </w:p>
    <w:p>
      <w:pPr>
        <w:keepNext w:val="0"/>
        <w:keepLines w:val="0"/>
        <w:pageBreakBefore w:val="0"/>
        <w:kinsoku/>
        <w:wordWrap w:val="0"/>
        <w:overflowPunct/>
        <w:topLinePunct w:val="0"/>
        <w:autoSpaceDE/>
        <w:autoSpaceDN/>
        <w:bidi w:val="0"/>
        <w:adjustRightInd/>
        <w:snapToGrid/>
        <w:spacing w:line="570" w:lineRule="exact"/>
        <w:ind w:firstLine="640" w:firstLineChars="200"/>
        <w:jc w:val="both"/>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（二）工作目标</w:t>
      </w:r>
    </w:p>
    <w:p>
      <w:pPr>
        <w:keepNext w:val="0"/>
        <w:keepLines w:val="0"/>
        <w:pageBreakBefore w:val="0"/>
        <w:kinsoku/>
        <w:wordWrap/>
        <w:overflowPunct/>
        <w:topLinePunct w:val="0"/>
        <w:autoSpaceDE/>
        <w:autoSpaceDN/>
        <w:bidi w:val="0"/>
        <w:adjustRightInd/>
        <w:snapToGrid/>
        <w:spacing w:line="570" w:lineRule="exact"/>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实现“评标者不知情、知情者不评标”，压缩人为干预评审空间，突出技术方案、施工组织、项目团队能力权重，落实优质优价导向，杜绝唯低价中标，提升招投标公信力。通过全面推行招标“三盲”评审，增强评标保密性，确保专家评审更加公平，为市场主体提供公平竞争的交易环境，进一步提高招标投标质量，营造公平公正、规范高效、阳光透明的招标投标市场环境。</w:t>
      </w:r>
    </w:p>
    <w:p>
      <w:pPr>
        <w:keepNext w:val="0"/>
        <w:keepLines w:val="0"/>
        <w:pageBreakBefore w:val="0"/>
        <w:kinsoku/>
        <w:wordWrap w:val="0"/>
        <w:overflowPunct/>
        <w:topLinePunct w:val="0"/>
        <w:autoSpaceDE/>
        <w:autoSpaceDN/>
        <w:bidi w:val="0"/>
        <w:adjustRightInd/>
        <w:snapToGrid/>
        <w:spacing w:line="570" w:lineRule="exact"/>
        <w:ind w:firstLine="640" w:firstLineChars="20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二、实施范围与执行时间</w:t>
      </w:r>
    </w:p>
    <w:p>
      <w:pPr>
        <w:keepNext w:val="0"/>
        <w:keepLines w:val="0"/>
        <w:pageBreakBefore w:val="0"/>
        <w:kinsoku/>
        <w:wordWrap/>
        <w:overflowPunct/>
        <w:topLinePunct w:val="0"/>
        <w:autoSpaceDE/>
        <w:autoSpaceDN/>
        <w:bidi w:val="0"/>
        <w:adjustRightInd/>
        <w:snapToGrid/>
        <w:spacing w:line="570" w:lineRule="exact"/>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1. 适用项目：全市房建和市政基础设施工程依法必招项目，含施工、勘察、设计、监理、EPC总承包项目等。</w:t>
      </w:r>
    </w:p>
    <w:p>
      <w:pPr>
        <w:keepNext w:val="0"/>
        <w:keepLines w:val="0"/>
        <w:pageBreakBefore w:val="0"/>
        <w:kinsoku/>
        <w:wordWrap/>
        <w:overflowPunct/>
        <w:topLinePunct w:val="0"/>
        <w:autoSpaceDE/>
        <w:autoSpaceDN/>
        <w:bidi w:val="0"/>
        <w:adjustRightInd/>
        <w:snapToGrid/>
        <w:spacing w:line="570" w:lineRule="exact"/>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2. 执行时间：从2026年8月1日起，新发布招标公告、招标文件的房建和市政工程项目，全覆盖实行三盲评审；已发布招标公告尚未开评标项目，按原规则执行，下一周期全部切换至“三盲”模式。</w:t>
      </w:r>
    </w:p>
    <w:p>
      <w:pPr>
        <w:keepNext w:val="0"/>
        <w:keepLines w:val="0"/>
        <w:pageBreakBefore w:val="0"/>
        <w:kinsoku/>
        <w:wordWrap w:val="0"/>
        <w:overflowPunct/>
        <w:topLinePunct w:val="0"/>
        <w:autoSpaceDE/>
        <w:autoSpaceDN/>
        <w:bidi w:val="0"/>
        <w:adjustRightInd/>
        <w:snapToGrid/>
        <w:spacing w:line="570" w:lineRule="exact"/>
        <w:ind w:firstLine="640" w:firstLineChars="20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三、工作举措</w:t>
      </w:r>
    </w:p>
    <w:p>
      <w:pPr>
        <w:keepNext w:val="0"/>
        <w:keepLines w:val="0"/>
        <w:pageBreakBefore w:val="0"/>
        <w:kinsoku/>
        <w:wordWrap w:val="0"/>
        <w:overflowPunct/>
        <w:topLinePunct w:val="0"/>
        <w:autoSpaceDE/>
        <w:autoSpaceDN/>
        <w:bidi w:val="0"/>
        <w:adjustRightInd/>
        <w:snapToGrid/>
        <w:spacing w:line="57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sz w:val="32"/>
          <w:szCs w:val="32"/>
          <w:lang w:val="en-US" w:eastAsia="zh-CN"/>
        </w:rPr>
        <w:t>（一）全面推行“三盲”评审。</w:t>
      </w:r>
      <w:r>
        <w:rPr>
          <w:rFonts w:hint="eastAsia" w:ascii="仿宋_GB2312" w:hAnsi="仿宋_GB2312" w:eastAsia="仿宋_GB2312" w:cs="仿宋_GB2312"/>
          <w:sz w:val="32"/>
          <w:szCs w:val="32"/>
          <w:lang w:val="en-US" w:eastAsia="zh-CN"/>
        </w:rPr>
        <w:t>一是持续落实“盲抽”评标专家。评标专家在项目开标前两个小时内从山西省评标专家库终端随机抽取，系统不显示抽取专家姓名、联系电话等信息，实现“盲抽”专家。二是按照省、市发改部门要求，积极推行远程异地评标，扩大专家抽取地域范围；三是抽取记录、短信通知、到场签到全程留痕加密存档，严禁招标人、代理机构提前对接、联系评标专家；四是评标区实行封闭管理，禁止招标人代表与专家私下沟通、暗示打分倾向。</w:t>
      </w:r>
    </w:p>
    <w:p>
      <w:pPr>
        <w:keepNext w:val="0"/>
        <w:keepLines w:val="0"/>
        <w:pageBreakBefore w:val="0"/>
        <w:numPr>
          <w:ilvl w:val="0"/>
          <w:numId w:val="1"/>
        </w:numPr>
        <w:kinsoku/>
        <w:wordWrap w:val="0"/>
        <w:overflowPunct/>
        <w:topLinePunct w:val="0"/>
        <w:autoSpaceDE/>
        <w:autoSpaceDN/>
        <w:bidi w:val="0"/>
        <w:adjustRightInd/>
        <w:snapToGrid/>
        <w:spacing w:line="570" w:lineRule="exact"/>
        <w:ind w:firstLine="640" w:firstLineChars="200"/>
        <w:jc w:val="both"/>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技术标暗标编制与脱敏规范</w:t>
      </w:r>
    </w:p>
    <w:p>
      <w:pPr>
        <w:keepNext w:val="0"/>
        <w:keepLines w:val="0"/>
        <w:pageBreakBefore w:val="0"/>
        <w:kinsoku/>
        <w:wordWrap/>
        <w:overflowPunct/>
        <w:topLinePunct w:val="0"/>
        <w:autoSpaceDE/>
        <w:autoSpaceDN/>
        <w:bidi w:val="0"/>
        <w:adjustRightInd/>
        <w:snapToGrid/>
        <w:spacing w:line="570" w:lineRule="exact"/>
        <w:ind w:firstLine="640"/>
        <w:jc w:val="left"/>
        <w:textAlignment w:val="auto"/>
        <w:rPr>
          <w:rFonts w:hint="default"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 投标文件技术部分：系统自动对技术部分内容单独增加限制，不允许其加盖相关印章。</w:t>
      </w:r>
    </w:p>
    <w:p>
      <w:pPr>
        <w:keepNext w:val="0"/>
        <w:keepLines w:val="0"/>
        <w:pageBreakBefore w:val="0"/>
        <w:kinsoku/>
        <w:wordWrap w:val="0"/>
        <w:overflowPunct/>
        <w:topLinePunct w:val="0"/>
        <w:autoSpaceDE/>
        <w:autoSpaceDN/>
        <w:bidi w:val="0"/>
        <w:adjustRightInd/>
        <w:snapToGrid/>
        <w:spacing w:line="57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 系统脱敏：电子评标系统自动剥离暗标内投标人关联信息，随机生成唯一评审编码，评审阶段不展示投标人名称。</w:t>
      </w:r>
    </w:p>
    <w:p>
      <w:pPr>
        <w:keepNext w:val="0"/>
        <w:keepLines w:val="0"/>
        <w:pageBreakBefore w:val="0"/>
        <w:kinsoku/>
        <w:wordWrap w:val="0"/>
        <w:overflowPunct/>
        <w:topLinePunct w:val="0"/>
        <w:autoSpaceDE/>
        <w:autoSpaceDN/>
        <w:bidi w:val="0"/>
        <w:adjustRightInd/>
        <w:snapToGrid/>
        <w:spacing w:line="57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3、施工组织设计（技术暗标部分）编制要求</w:t>
      </w:r>
    </w:p>
    <w:p>
      <w:pPr>
        <w:keepNext w:val="0"/>
        <w:keepLines w:val="0"/>
        <w:pageBreakBefore w:val="0"/>
        <w:kinsoku/>
        <w:wordWrap w:val="0"/>
        <w:overflowPunct/>
        <w:topLinePunct w:val="0"/>
        <w:autoSpaceDE/>
        <w:autoSpaceDN/>
        <w:bidi w:val="0"/>
        <w:adjustRightInd/>
        <w:snapToGrid/>
        <w:spacing w:line="57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（1）封皮设置要求：字体要求为：黑体、72；字符间距为100磅；距上边距为8㎝，不应自行设计其它任何标识。</w:t>
      </w:r>
    </w:p>
    <w:p>
      <w:pPr>
        <w:keepNext w:val="0"/>
        <w:keepLines w:val="0"/>
        <w:pageBreakBefore w:val="0"/>
        <w:kinsoku/>
        <w:wordWrap w:val="0"/>
        <w:overflowPunct/>
        <w:topLinePunct w:val="0"/>
        <w:autoSpaceDE/>
        <w:autoSpaceDN/>
        <w:bidi w:val="0"/>
        <w:adjustRightInd/>
        <w:snapToGrid/>
        <w:spacing w:line="57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（2）排版要求：目录、标题及正文部分全部为宋体四号字；页边距除左边距为2.5㎝，其余均为2㎝；行间距为单倍行距；页码在页面底端居中；图表部分格式不限。</w:t>
      </w:r>
    </w:p>
    <w:p>
      <w:pPr>
        <w:keepNext w:val="0"/>
        <w:keepLines w:val="0"/>
        <w:pageBreakBefore w:val="0"/>
        <w:kinsoku/>
        <w:wordWrap w:val="0"/>
        <w:overflowPunct/>
        <w:topLinePunct w:val="0"/>
        <w:autoSpaceDE/>
        <w:autoSpaceDN/>
        <w:bidi w:val="0"/>
        <w:adjustRightInd/>
        <w:snapToGrid/>
        <w:spacing w:line="570" w:lineRule="exact"/>
        <w:ind w:firstLine="640" w:firstLineChars="200"/>
        <w:jc w:val="both"/>
        <w:textAlignment w:val="auto"/>
        <w:rPr>
          <w:rFonts w:hint="eastAsia" w:ascii="仿宋_GB2312" w:hAnsi="仿宋_GB2312" w:eastAsia="仿宋_GB2312" w:cs="仿宋_GB2312"/>
          <w:color w:val="000000" w:themeColor="text1"/>
          <w:sz w:val="32"/>
          <w:szCs w:val="32"/>
          <w:u w:val="singl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（3）编写软件：：</w:t>
      </w:r>
      <w:r>
        <w:rPr>
          <w:rFonts w:hint="eastAsia" w:ascii="仿宋_GB2312" w:hAnsi="仿宋_GB2312" w:eastAsia="仿宋_GB2312" w:cs="仿宋_GB2312"/>
          <w:color w:val="000000" w:themeColor="text1"/>
          <w:sz w:val="32"/>
          <w:szCs w:val="32"/>
          <w:u w:val="single"/>
          <w:lang w:val="en-US" w:eastAsia="zh-CN"/>
          <w14:textFill>
            <w14:solidFill>
              <w14:schemeClr w14:val="tx1"/>
            </w14:solidFill>
          </w14:textFill>
        </w:rPr>
        <w:t xml:space="preserve">microsoft  word编辑后转换为pdf </w:t>
      </w:r>
    </w:p>
    <w:p>
      <w:pPr>
        <w:ind w:firstLine="640" w:firstLineChars="200"/>
        <w:rPr>
          <w:rFonts w:hint="eastAsia" w:ascii="仿宋_GB2312" w:hAnsi="仿宋_GB2312" w:eastAsia="仿宋" w:cs="仿宋_GB2312"/>
          <w:color w:val="000000" w:themeColor="text1"/>
          <w:sz w:val="32"/>
          <w:szCs w:val="32"/>
          <w:u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t>（4）字数要求：</w:t>
      </w:r>
      <w:r>
        <w:rPr>
          <w:rFonts w:hint="eastAsia" w:ascii="仿宋" w:hAnsi="仿宋" w:eastAsia="仿宋" w:cs="仿宋_GB2312"/>
          <w:color w:val="000000" w:themeColor="text1"/>
          <w:sz w:val="36"/>
          <w:szCs w:val="36"/>
          <w14:textFill>
            <w14:solidFill>
              <w14:schemeClr w14:val="tx1"/>
            </w14:solidFill>
          </w14:textFill>
          <w14:ligatures w14:val="none"/>
        </w:rPr>
        <w:t>技术部分内容，</w:t>
      </w:r>
      <w:r>
        <w:rPr>
          <w:rFonts w:ascii="仿宋" w:hAnsi="仿宋" w:eastAsia="仿宋" w:cs="仿宋_GB2312"/>
          <w:color w:val="000000" w:themeColor="text1"/>
          <w:sz w:val="36"/>
          <w:szCs w:val="36"/>
          <w14:textFill>
            <w14:solidFill>
              <w14:schemeClr w14:val="tx1"/>
            </w14:solidFill>
          </w14:textFill>
          <w14:ligatures w14:val="none"/>
        </w:rPr>
        <w:t>总页数不得超过8000页</w:t>
      </w:r>
      <w:r>
        <w:rPr>
          <w:rFonts w:hint="eastAsia" w:ascii="仿宋" w:hAnsi="仿宋" w:eastAsia="仿宋" w:cs="仿宋_GB2312"/>
          <w:color w:val="000000" w:themeColor="text1"/>
          <w:sz w:val="36"/>
          <w:szCs w:val="36"/>
          <w:lang w:eastAsia="zh-CN"/>
          <w14:textFill>
            <w14:solidFill>
              <w14:schemeClr w14:val="tx1"/>
            </w14:solidFill>
          </w14:textFill>
          <w14:ligatures w14:val="none"/>
        </w:rPr>
        <w:t>。</w:t>
      </w:r>
    </w:p>
    <w:p>
      <w:pPr>
        <w:wordWrap w:val="0"/>
        <w:spacing w:line="57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 违规处置：</w:t>
      </w:r>
    </w:p>
    <w:p>
      <w:pPr>
        <w:wordWrap w:val="0"/>
        <w:spacing w:line="57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严禁显性身份信息泄露。技术标全文（含封面、目录、正文、附图、附表、视频附件）不得出现任何可识别投标人的显性信息，具体包括：投标人全称、简称、LOGO、水印、公章、签字、法人及管理人员姓名、联系方式、地址等基础信息；企业荣誉、自有项目名称、企业特有地标、厂区名称等关联信息；手写涂改、批注、签名，全文仅允许黑白打印文字及线条图；</w:t>
      </w:r>
    </w:p>
    <w:p>
      <w:pPr>
        <w:wordWrap w:val="0"/>
        <w:spacing w:line="57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（二）严禁隐性身份线索残留。杜绝可反向推断投标单位的隐性信息。包括自有专利名称、专属施工工法、企业特有标识，专属素材、内部编号等。</w:t>
      </w:r>
    </w:p>
    <w:p>
      <w:pPr>
        <w:wordWrap w:val="0"/>
        <w:spacing w:line="570" w:lineRule="exact"/>
        <w:ind w:firstLine="640" w:firstLineChars="200"/>
        <w:rPr>
          <w:rFonts w:hint="default" w:ascii="仿宋_GB2312" w:hAnsi="仿宋_GB2312" w:eastAsia="仿宋_GB2312" w:cs="仿宋_GB2312"/>
          <w:color w:val="0000FF"/>
          <w:sz w:val="32"/>
          <w:szCs w:val="32"/>
          <w:u w:val="single"/>
          <w:lang w:val="en-US" w:eastAsia="zh-CN"/>
        </w:rPr>
      </w:pPr>
      <w:r>
        <w:rPr>
          <w:rFonts w:hint="eastAsia" w:ascii="仿宋_GB2312" w:hAnsi="仿宋_GB2312" w:eastAsia="仿宋_GB2312" w:cs="仿宋_GB2312"/>
          <w:sz w:val="32"/>
          <w:szCs w:val="32"/>
        </w:rPr>
        <w:t>（三）严禁人为特殊标记。禁止设置差异化暗号及特殊格式，包括字体加粗、斜体、彩色文字、高亮、特殊艺术字体、自定义符号，多余空白页，特殊装订、自定义页眉页脚等。</w:t>
      </w:r>
    </w:p>
    <w:p>
      <w:pPr>
        <w:keepNext w:val="0"/>
        <w:keepLines w:val="0"/>
        <w:pageBreakBefore w:val="0"/>
        <w:kinsoku/>
        <w:wordWrap w:val="0"/>
        <w:overflowPunct/>
        <w:topLinePunct w:val="0"/>
        <w:autoSpaceDE/>
        <w:autoSpaceDN/>
        <w:bidi w:val="0"/>
        <w:adjustRightInd/>
        <w:snapToGrid/>
        <w:spacing w:line="57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（四）任何情况下，技术暗标中不得出现任何涂改、行间插字或删除痕迹。</w:t>
      </w:r>
    </w:p>
    <w:p>
      <w:pPr>
        <w:keepNext w:val="0"/>
        <w:keepLines w:val="0"/>
        <w:pageBreakBefore w:val="0"/>
        <w:kinsoku/>
        <w:wordWrap w:val="0"/>
        <w:overflowPunct/>
        <w:topLinePunct w:val="0"/>
        <w:autoSpaceDE/>
        <w:autoSpaceDN/>
        <w:bidi w:val="0"/>
        <w:adjustRightInd/>
        <w:snapToGrid/>
        <w:spacing w:line="57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5、评审要求：</w:t>
      </w:r>
    </w:p>
    <w:p>
      <w:pPr>
        <w:keepNext w:val="0"/>
        <w:keepLines w:val="0"/>
        <w:pageBreakBefore w:val="0"/>
        <w:kinsoku/>
        <w:wordWrap w:val="0"/>
        <w:overflowPunct/>
        <w:topLinePunct w:val="0"/>
        <w:autoSpaceDE/>
        <w:autoSpaceDN/>
        <w:bidi w:val="0"/>
        <w:adjustRightInd/>
        <w:snapToGrid/>
        <w:spacing w:line="57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经评标委员会评审技术标出现任何可识别投标人身份信息、未按统一版式编制的，施工组织设计不合格或计取零分。</w:t>
      </w:r>
    </w:p>
    <w:p>
      <w:pPr>
        <w:keepNext w:val="0"/>
        <w:keepLines w:val="0"/>
        <w:pageBreakBefore w:val="0"/>
        <w:numPr>
          <w:ilvl w:val="0"/>
          <w:numId w:val="2"/>
        </w:numPr>
        <w:kinsoku/>
        <w:wordWrap w:val="0"/>
        <w:overflowPunct/>
        <w:topLinePunct w:val="0"/>
        <w:autoSpaceDE/>
        <w:autoSpaceDN/>
        <w:bidi w:val="0"/>
        <w:adjustRightInd/>
        <w:snapToGrid/>
        <w:spacing w:line="570" w:lineRule="exact"/>
        <w:ind w:firstLine="640" w:firstLineChars="200"/>
        <w:jc w:val="both"/>
        <w:textAlignment w:val="auto"/>
        <w:rPr>
          <w:rFonts w:hint="eastAsia" w:ascii="仿宋_GB2312" w:hAnsi="仿宋_GB2312" w:eastAsia="仿宋_GB2312" w:cs="仿宋_GB2312"/>
          <w:sz w:val="32"/>
          <w:szCs w:val="32"/>
          <w:lang w:val="en-US" w:eastAsia="zh-CN"/>
          <w14:ligatures w14:val="none"/>
        </w:rPr>
      </w:pPr>
      <w:r>
        <w:rPr>
          <w:rFonts w:hint="eastAsia" w:ascii="仿宋_GB2312" w:hAnsi="仿宋_GB2312" w:eastAsia="仿宋_GB2312" w:cs="仿宋_GB2312"/>
          <w:sz w:val="32"/>
          <w:szCs w:val="32"/>
          <w:lang w:val="en-US" w:eastAsia="zh-CN"/>
          <w14:ligatures w14:val="none"/>
        </w:rPr>
        <w:t>异议处置：</w:t>
      </w:r>
    </w:p>
    <w:p>
      <w:pPr>
        <w:keepNext w:val="0"/>
        <w:keepLines w:val="0"/>
        <w:pageBreakBefore w:val="0"/>
        <w:numPr>
          <w:ilvl w:val="0"/>
          <w:numId w:val="0"/>
        </w:numPr>
        <w:kinsoku/>
        <w:wordWrap w:val="0"/>
        <w:overflowPunct/>
        <w:topLinePunct w:val="0"/>
        <w:autoSpaceDE/>
        <w:autoSpaceDN/>
        <w:bidi w:val="0"/>
        <w:adjustRightInd/>
        <w:snapToGrid/>
        <w:spacing w:line="57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14:ligatures w14:val="none"/>
        </w:rPr>
        <w:t>投标人对暗标是否违规认定有异议的，可以通过招标文件规定的异议渠道提出，由招标人会同监督部门</w:t>
      </w:r>
      <w:r>
        <w:rPr>
          <w:rFonts w:hint="eastAsia" w:ascii="仿宋_GB2312" w:hAnsi="仿宋_GB2312" w:eastAsia="仿宋_GB2312" w:cs="仿宋_GB2312"/>
          <w:sz w:val="32"/>
          <w:szCs w:val="32"/>
          <w:lang w:eastAsia="zh-CN"/>
          <w14:ligatures w14:val="none"/>
        </w:rPr>
        <w:t>进行</w:t>
      </w:r>
      <w:r>
        <w:rPr>
          <w:rFonts w:hint="eastAsia" w:ascii="仿宋_GB2312" w:hAnsi="仿宋_GB2312" w:eastAsia="仿宋_GB2312" w:cs="仿宋_GB2312"/>
          <w:sz w:val="32"/>
          <w:szCs w:val="32"/>
          <w14:ligatures w14:val="none"/>
        </w:rPr>
        <w:t>核查处理</w:t>
      </w:r>
      <w:r>
        <w:rPr>
          <w:rFonts w:hint="eastAsia" w:ascii="仿宋_GB2312" w:hAnsi="仿宋_GB2312" w:eastAsia="仿宋_GB2312" w:cs="仿宋_GB2312"/>
          <w:sz w:val="32"/>
          <w:szCs w:val="32"/>
          <w:lang w:eastAsia="zh-CN"/>
          <w14:ligatures w14:val="none"/>
        </w:rPr>
        <w:t>。</w:t>
      </w:r>
    </w:p>
    <w:p>
      <w:pPr>
        <w:keepNext w:val="0"/>
        <w:keepLines w:val="0"/>
        <w:pageBreakBefore w:val="0"/>
        <w:kinsoku/>
        <w:wordWrap w:val="0"/>
        <w:overflowPunct/>
        <w:topLinePunct w:val="0"/>
        <w:autoSpaceDE/>
        <w:autoSpaceDN/>
        <w:bidi w:val="0"/>
        <w:adjustRightInd/>
        <w:snapToGrid/>
        <w:spacing w:line="570" w:lineRule="exact"/>
        <w:ind w:firstLine="640" w:firstLineChars="200"/>
        <w:jc w:val="both"/>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（三）全流程电子化闭环评审</w:t>
      </w:r>
    </w:p>
    <w:p>
      <w:pPr>
        <w:keepNext w:val="0"/>
        <w:keepLines w:val="0"/>
        <w:pageBreakBefore w:val="0"/>
        <w:kinsoku/>
        <w:wordWrap w:val="0"/>
        <w:overflowPunct/>
        <w:topLinePunct w:val="0"/>
        <w:autoSpaceDE/>
        <w:autoSpaceDN/>
        <w:bidi w:val="0"/>
        <w:adjustRightInd/>
        <w:snapToGrid/>
        <w:spacing w:line="57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1.招标环节：招标人或其委托的招标代理机构在编制招标文件时要选择采用“暗标”评审，在招标文件中选择好对应的技术评审选项。 </w:t>
      </w:r>
    </w:p>
    <w:p>
      <w:pPr>
        <w:keepNext w:val="0"/>
        <w:keepLines w:val="0"/>
        <w:pageBreakBefore w:val="0"/>
        <w:kinsoku/>
        <w:wordWrap w:val="0"/>
        <w:overflowPunct/>
        <w:topLinePunct w:val="0"/>
        <w:autoSpaceDE/>
        <w:autoSpaceDN/>
        <w:bidi w:val="0"/>
        <w:adjustRightInd/>
        <w:snapToGrid/>
        <w:spacing w:line="57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2、开标环节：开标阶段仅核验商务明标资格、报价，不开启、不展示技术暗标；</w:t>
      </w:r>
    </w:p>
    <w:p>
      <w:pPr>
        <w:keepNext w:val="0"/>
        <w:keepLines w:val="0"/>
        <w:pageBreakBefore w:val="0"/>
        <w:kinsoku/>
        <w:wordWrap/>
        <w:overflowPunct/>
        <w:topLinePunct w:val="0"/>
        <w:autoSpaceDE/>
        <w:autoSpaceDN/>
        <w:bidi w:val="0"/>
        <w:adjustRightInd/>
        <w:snapToGrid/>
        <w:spacing w:line="570" w:lineRule="exact"/>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3、评标环节：资格审查完成后，系统在技术评审部分自动屏蔽所有单位名称，单独推送匿名技术暗标至各评标专家独立端口，专家独立打分，分数实时锁定、不可撤回修改。全部评审打分完成后，系统自动匹配编号与投标人信息，汇总商务、技术总分，生成中标候选人名单，全程音视频、操作日志归档留存。</w:t>
      </w:r>
    </w:p>
    <w:p>
      <w:pPr>
        <w:keepNext w:val="0"/>
        <w:keepLines w:val="0"/>
        <w:pageBreakBefore w:val="0"/>
        <w:kinsoku/>
        <w:wordWrap/>
        <w:overflowPunct/>
        <w:topLinePunct w:val="0"/>
        <w:autoSpaceDE/>
        <w:autoSpaceDN/>
        <w:bidi w:val="0"/>
        <w:adjustRightInd/>
        <w:snapToGrid/>
        <w:spacing w:line="570" w:lineRule="exact"/>
        <w:ind w:firstLine="64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（四）积极推进远程异地评审工作。</w:t>
      </w:r>
    </w:p>
    <w:p>
      <w:pPr>
        <w:keepNext w:val="0"/>
        <w:keepLines w:val="0"/>
        <w:pageBreakBefore w:val="0"/>
        <w:kinsoku/>
        <w:wordWrap/>
        <w:overflowPunct/>
        <w:topLinePunct w:val="0"/>
        <w:autoSpaceDE/>
        <w:autoSpaceDN/>
        <w:bidi w:val="0"/>
        <w:adjustRightInd/>
        <w:snapToGrid/>
        <w:spacing w:line="570" w:lineRule="exact"/>
        <w:ind w:firstLine="64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持续推动全市房建和市政工程远程异地评标评审工作常态化、规范化、有序化，指导各县区住建部门扩大远程异地评标，实现更加范围内专家资源共享。</w:t>
      </w:r>
    </w:p>
    <w:p>
      <w:pPr>
        <w:keepNext w:val="0"/>
        <w:keepLines w:val="0"/>
        <w:pageBreakBefore w:val="0"/>
        <w:kinsoku/>
        <w:wordWrap w:val="0"/>
        <w:overflowPunct/>
        <w:topLinePunct w:val="0"/>
        <w:autoSpaceDE/>
        <w:autoSpaceDN/>
        <w:bidi w:val="0"/>
        <w:adjustRightInd/>
        <w:snapToGrid/>
        <w:spacing w:line="570" w:lineRule="exact"/>
        <w:ind w:firstLine="960" w:firstLineChars="30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四、各方主体责任</w:t>
      </w:r>
    </w:p>
    <w:p>
      <w:pPr>
        <w:keepNext w:val="0"/>
        <w:keepLines w:val="0"/>
        <w:pageBreakBefore w:val="0"/>
        <w:kinsoku/>
        <w:wordWrap w:val="0"/>
        <w:overflowPunct/>
        <w:topLinePunct w:val="0"/>
        <w:autoSpaceDE/>
        <w:autoSpaceDN/>
        <w:bidi w:val="0"/>
        <w:adjustRightInd/>
        <w:snapToGrid/>
        <w:spacing w:line="570" w:lineRule="exact"/>
        <w:ind w:firstLine="640" w:firstLineChars="200"/>
        <w:jc w:val="both"/>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（一）建设单位（招标人）</w:t>
      </w:r>
    </w:p>
    <w:p>
      <w:pPr>
        <w:keepNext w:val="0"/>
        <w:keepLines w:val="0"/>
        <w:pageBreakBefore w:val="0"/>
        <w:kinsoku/>
        <w:wordWrap w:val="0"/>
        <w:overflowPunct/>
        <w:topLinePunct w:val="0"/>
        <w:autoSpaceDE/>
        <w:autoSpaceDN/>
        <w:bidi w:val="0"/>
        <w:adjustRightInd/>
        <w:snapToGrid/>
        <w:spacing w:line="57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 落实主体责任，招标文件必须单列“三盲评审”专章，清晰载明暗标编制标准和违规废标等条款；</w:t>
      </w:r>
    </w:p>
    <w:p>
      <w:pPr>
        <w:keepNext w:val="0"/>
        <w:keepLines w:val="0"/>
        <w:pageBreakBefore w:val="0"/>
        <w:kinsoku/>
        <w:wordWrap w:val="0"/>
        <w:overflowPunct/>
        <w:topLinePunct w:val="0"/>
        <w:autoSpaceDE/>
        <w:autoSpaceDN/>
        <w:bidi w:val="0"/>
        <w:adjustRightInd/>
        <w:snapToGrid/>
        <w:spacing w:line="57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 不得设置排斥外地企业、隐性倾向性条款，不得干预专家抽取、暗标评审打分；</w:t>
      </w:r>
    </w:p>
    <w:p>
      <w:pPr>
        <w:keepNext w:val="0"/>
        <w:keepLines w:val="0"/>
        <w:pageBreakBefore w:val="0"/>
        <w:kinsoku/>
        <w:wordWrap w:val="0"/>
        <w:overflowPunct/>
        <w:topLinePunct w:val="0"/>
        <w:autoSpaceDE/>
        <w:autoSpaceDN/>
        <w:bidi w:val="0"/>
        <w:adjustRightInd/>
        <w:snapToGrid/>
        <w:spacing w:line="57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 严格执行评定分离制度，依据评审得分书面说明定标理由，留存完整决策记录。</w:t>
      </w:r>
    </w:p>
    <w:p>
      <w:pPr>
        <w:keepNext w:val="0"/>
        <w:keepLines w:val="0"/>
        <w:pageBreakBefore w:val="0"/>
        <w:kinsoku/>
        <w:wordWrap w:val="0"/>
        <w:overflowPunct/>
        <w:topLinePunct w:val="0"/>
        <w:autoSpaceDE/>
        <w:autoSpaceDN/>
        <w:bidi w:val="0"/>
        <w:adjustRightInd/>
        <w:snapToGrid/>
        <w:spacing w:line="570" w:lineRule="exact"/>
        <w:ind w:firstLine="640" w:firstLineChars="200"/>
        <w:jc w:val="both"/>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（二）招标代理机构</w:t>
      </w:r>
    </w:p>
    <w:p>
      <w:pPr>
        <w:keepNext w:val="0"/>
        <w:keepLines w:val="0"/>
        <w:pageBreakBefore w:val="0"/>
        <w:kinsoku/>
        <w:wordWrap/>
        <w:overflowPunct/>
        <w:topLinePunct w:val="0"/>
        <w:autoSpaceDE/>
        <w:autoSpaceDN/>
        <w:bidi w:val="0"/>
        <w:adjustRightInd/>
        <w:snapToGrid/>
        <w:spacing w:line="570" w:lineRule="exact"/>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1. 规范编制招标文件，主动向投标人宣讲暗标编制要求，做好线上答疑等工作；</w:t>
      </w:r>
    </w:p>
    <w:p>
      <w:pPr>
        <w:keepNext w:val="0"/>
        <w:keepLines w:val="0"/>
        <w:pageBreakBefore w:val="0"/>
        <w:kinsoku/>
        <w:wordWrap w:val="0"/>
        <w:overflowPunct/>
        <w:topLinePunct w:val="0"/>
        <w:autoSpaceDE/>
        <w:autoSpaceDN/>
        <w:bidi w:val="0"/>
        <w:adjustRightInd/>
        <w:snapToGrid/>
        <w:spacing w:line="57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 严格执行专家盲抽流程，做好评标现场封闭管控，严禁泄露专家、投标人保密信息；</w:t>
      </w:r>
    </w:p>
    <w:p>
      <w:pPr>
        <w:keepNext w:val="0"/>
        <w:keepLines w:val="0"/>
        <w:pageBreakBefore w:val="0"/>
        <w:kinsoku/>
        <w:wordWrap/>
        <w:overflowPunct/>
        <w:topLinePunct w:val="0"/>
        <w:autoSpaceDE/>
        <w:autoSpaceDN/>
        <w:bidi w:val="0"/>
        <w:adjustRightInd/>
        <w:snapToGrid/>
        <w:spacing w:line="570" w:lineRule="exact"/>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3. 做好开标、评标全过程资料收集、归档，及时向各住建监管部门推送评审数据和信息。</w:t>
      </w:r>
    </w:p>
    <w:p>
      <w:pPr>
        <w:keepNext w:val="0"/>
        <w:keepLines w:val="0"/>
        <w:pageBreakBefore w:val="0"/>
        <w:kinsoku/>
        <w:wordWrap w:val="0"/>
        <w:overflowPunct/>
        <w:topLinePunct w:val="0"/>
        <w:autoSpaceDE/>
        <w:autoSpaceDN/>
        <w:bidi w:val="0"/>
        <w:adjustRightInd/>
        <w:snapToGrid/>
        <w:spacing w:line="570" w:lineRule="exact"/>
        <w:ind w:firstLine="640" w:firstLineChars="200"/>
        <w:jc w:val="both"/>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（三）投标企业</w:t>
      </w:r>
    </w:p>
    <w:p>
      <w:pPr>
        <w:keepNext w:val="0"/>
        <w:keepLines w:val="0"/>
        <w:pageBreakBefore w:val="0"/>
        <w:kinsoku/>
        <w:wordWrap w:val="0"/>
        <w:overflowPunct/>
        <w:topLinePunct w:val="0"/>
        <w:autoSpaceDE/>
        <w:autoSpaceDN/>
        <w:bidi w:val="0"/>
        <w:adjustRightInd/>
        <w:snapToGrid/>
        <w:spacing w:line="57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 严格按暗标规范编制技术文件，杜绝植入身份标识；</w:t>
      </w:r>
    </w:p>
    <w:p>
      <w:pPr>
        <w:keepNext w:val="0"/>
        <w:keepLines w:val="0"/>
        <w:pageBreakBefore w:val="0"/>
        <w:kinsoku/>
        <w:wordWrap/>
        <w:overflowPunct/>
        <w:topLinePunct w:val="0"/>
        <w:autoSpaceDE/>
        <w:autoSpaceDN/>
        <w:bidi w:val="0"/>
        <w:adjustRightInd/>
        <w:snapToGrid/>
        <w:spacing w:line="570" w:lineRule="exact"/>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2. 严禁串通修改暗标格式、传递企业识别线索；</w:t>
      </w:r>
    </w:p>
    <w:p>
      <w:pPr>
        <w:keepNext w:val="0"/>
        <w:keepLines w:val="0"/>
        <w:pageBreakBefore w:val="0"/>
        <w:kinsoku/>
        <w:wordWrap w:val="0"/>
        <w:overflowPunct/>
        <w:topLinePunct w:val="0"/>
        <w:autoSpaceDE/>
        <w:autoSpaceDN/>
        <w:bidi w:val="0"/>
        <w:adjustRightInd/>
        <w:snapToGrid/>
        <w:spacing w:line="57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 投标前自行核对脱敏要求，因文件违规失分，废标责任自行承担。</w:t>
      </w:r>
    </w:p>
    <w:p>
      <w:pPr>
        <w:keepNext w:val="0"/>
        <w:keepLines w:val="0"/>
        <w:pageBreakBefore w:val="0"/>
        <w:kinsoku/>
        <w:wordWrap w:val="0"/>
        <w:overflowPunct/>
        <w:topLinePunct w:val="0"/>
        <w:autoSpaceDE/>
        <w:autoSpaceDN/>
        <w:bidi w:val="0"/>
        <w:adjustRightInd/>
        <w:snapToGrid/>
        <w:spacing w:line="570" w:lineRule="exact"/>
        <w:ind w:firstLine="640" w:firstLineChars="200"/>
        <w:jc w:val="both"/>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（四）评标专家</w:t>
      </w:r>
    </w:p>
    <w:p>
      <w:pPr>
        <w:keepNext w:val="0"/>
        <w:keepLines w:val="0"/>
        <w:pageBreakBefore w:val="0"/>
        <w:kinsoku/>
        <w:wordWrap w:val="0"/>
        <w:overflowPunct/>
        <w:topLinePunct w:val="0"/>
        <w:autoSpaceDE/>
        <w:autoSpaceDN/>
        <w:bidi w:val="0"/>
        <w:adjustRightInd/>
        <w:snapToGrid/>
        <w:spacing w:line="57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 独立客观评审，仅依据技术方案质量打分，不得揣测和打听投标人相关信息；</w:t>
      </w:r>
    </w:p>
    <w:p>
      <w:pPr>
        <w:keepNext w:val="0"/>
        <w:keepLines w:val="0"/>
        <w:pageBreakBefore w:val="0"/>
        <w:kinsoku/>
        <w:wordWrap w:val="0"/>
        <w:overflowPunct/>
        <w:topLinePunct w:val="0"/>
        <w:autoSpaceDE/>
        <w:autoSpaceDN/>
        <w:bidi w:val="0"/>
        <w:adjustRightInd/>
        <w:snapToGrid/>
        <w:spacing w:line="57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 发现暗标存在身份标识、投标人串标线索，第一时间做好记录并上报现场监督人员；</w:t>
      </w:r>
    </w:p>
    <w:p>
      <w:pPr>
        <w:keepNext w:val="0"/>
        <w:keepLines w:val="0"/>
        <w:pageBreakBefore w:val="0"/>
        <w:kinsoku/>
        <w:wordWrap w:val="0"/>
        <w:overflowPunct/>
        <w:topLinePunct w:val="0"/>
        <w:autoSpaceDE/>
        <w:autoSpaceDN/>
        <w:bidi w:val="0"/>
        <w:adjustRightInd/>
        <w:snapToGrid/>
        <w:spacing w:line="57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 严禁私下接触投标人、招标人及相关利害关系人。</w:t>
      </w:r>
    </w:p>
    <w:p>
      <w:pPr>
        <w:keepNext w:val="0"/>
        <w:keepLines w:val="0"/>
        <w:pageBreakBefore w:val="0"/>
        <w:kinsoku/>
        <w:wordWrap w:val="0"/>
        <w:overflowPunct/>
        <w:topLinePunct w:val="0"/>
        <w:autoSpaceDE/>
        <w:autoSpaceDN/>
        <w:bidi w:val="0"/>
        <w:adjustRightInd/>
        <w:snapToGrid/>
        <w:spacing w:line="570" w:lineRule="exact"/>
        <w:ind w:firstLine="640" w:firstLineChars="200"/>
        <w:jc w:val="both"/>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（五）公共资源交易中心</w:t>
      </w:r>
    </w:p>
    <w:p>
      <w:pPr>
        <w:keepNext w:val="0"/>
        <w:keepLines w:val="0"/>
        <w:pageBreakBefore w:val="0"/>
        <w:kinsoku/>
        <w:wordWrap w:val="0"/>
        <w:overflowPunct/>
        <w:topLinePunct w:val="0"/>
        <w:autoSpaceDE/>
        <w:autoSpaceDN/>
        <w:bidi w:val="0"/>
        <w:adjustRightInd/>
        <w:snapToGrid/>
        <w:spacing w:line="57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 完善电子评标系统暗标脱敏、随机编号和远程异地评标功能；</w:t>
      </w:r>
    </w:p>
    <w:p>
      <w:pPr>
        <w:keepNext w:val="0"/>
        <w:keepLines w:val="0"/>
        <w:pageBreakBefore w:val="0"/>
        <w:kinsoku/>
        <w:wordWrap w:val="0"/>
        <w:overflowPunct/>
        <w:topLinePunct w:val="0"/>
        <w:autoSpaceDE/>
        <w:autoSpaceDN/>
        <w:bidi w:val="0"/>
        <w:adjustRightInd/>
        <w:snapToGrid/>
        <w:spacing w:line="57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 强化评标场所物理隔离、全程监控，保障盲投、盲抽、盲评技术落地，及时推送招投标全流程数据，实现信息互通、联合监管。</w:t>
      </w:r>
    </w:p>
    <w:p>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14:ligatures w14:val="none"/>
        </w:rPr>
        <w:t>电子评标系统自动脱敏</w:t>
      </w:r>
      <w:r>
        <w:rPr>
          <w:rFonts w:hint="eastAsia" w:ascii="仿宋_GB2312" w:hAnsi="仿宋_GB2312" w:eastAsia="仿宋_GB2312" w:cs="仿宋_GB2312"/>
          <w:sz w:val="32"/>
          <w:szCs w:val="32"/>
          <w:lang w:eastAsia="zh-CN"/>
          <w14:ligatures w14:val="none"/>
        </w:rPr>
        <w:t>完成后，</w:t>
      </w:r>
      <w:r>
        <w:rPr>
          <w:rFonts w:hint="eastAsia" w:ascii="仿宋_GB2312" w:hAnsi="仿宋_GB2312" w:eastAsia="仿宋_GB2312" w:cs="仿宋_GB2312"/>
          <w:sz w:val="32"/>
          <w:szCs w:val="32"/>
          <w14:ligatures w14:val="none"/>
        </w:rPr>
        <w:t>由</w:t>
      </w:r>
      <w:r>
        <w:rPr>
          <w:rFonts w:hint="eastAsia" w:ascii="仿宋_GB2312" w:hAnsi="仿宋_GB2312" w:eastAsia="仿宋_GB2312" w:cs="仿宋_GB2312"/>
          <w:sz w:val="32"/>
          <w:szCs w:val="32"/>
          <w:lang w:eastAsia="zh-CN"/>
          <w14:ligatures w14:val="none"/>
        </w:rPr>
        <w:t>市公共</w:t>
      </w:r>
      <w:r>
        <w:rPr>
          <w:rFonts w:hint="eastAsia" w:ascii="仿宋_GB2312" w:hAnsi="仿宋_GB2312" w:eastAsia="仿宋_GB2312" w:cs="仿宋_GB2312"/>
          <w:sz w:val="32"/>
          <w:szCs w:val="32"/>
          <w14:ligatures w14:val="none"/>
        </w:rPr>
        <w:t>交易中心</w:t>
      </w:r>
      <w:r>
        <w:rPr>
          <w:rFonts w:hint="eastAsia" w:ascii="仿宋_GB2312" w:hAnsi="仿宋_GB2312" w:eastAsia="仿宋_GB2312" w:cs="仿宋_GB2312"/>
          <w:sz w:val="32"/>
          <w:szCs w:val="32"/>
          <w:lang w:eastAsia="zh-CN"/>
          <w14:ligatures w14:val="none"/>
        </w:rPr>
        <w:t>组织</w:t>
      </w:r>
      <w:r>
        <w:rPr>
          <w:rFonts w:hint="eastAsia" w:ascii="仿宋_GB2312" w:hAnsi="仿宋_GB2312" w:eastAsia="仿宋_GB2312" w:cs="仿宋_GB2312"/>
          <w:sz w:val="32"/>
          <w:szCs w:val="32"/>
          <w14:ligatures w14:val="none"/>
        </w:rPr>
        <w:t>人员进行复核</w:t>
      </w:r>
      <w:r>
        <w:rPr>
          <w:rFonts w:hint="eastAsia" w:ascii="仿宋_GB2312" w:hAnsi="仿宋_GB2312" w:eastAsia="仿宋_GB2312" w:cs="仿宋_GB2312"/>
          <w:sz w:val="32"/>
          <w:szCs w:val="32"/>
          <w:lang w:eastAsia="zh-CN"/>
          <w14:ligatures w14:val="none"/>
        </w:rPr>
        <w:t>。</w:t>
      </w:r>
    </w:p>
    <w:p>
      <w:pPr>
        <w:keepNext w:val="0"/>
        <w:keepLines w:val="0"/>
        <w:pageBreakBefore w:val="0"/>
        <w:kinsoku/>
        <w:wordWrap w:val="0"/>
        <w:overflowPunct/>
        <w:topLinePunct w:val="0"/>
        <w:autoSpaceDE/>
        <w:autoSpaceDN/>
        <w:bidi w:val="0"/>
        <w:adjustRightInd/>
        <w:snapToGrid/>
        <w:spacing w:line="570" w:lineRule="exact"/>
        <w:ind w:firstLine="640" w:firstLineChars="20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五、组织保障与工作要求</w:t>
      </w:r>
    </w:p>
    <w:p>
      <w:pPr>
        <w:keepNext w:val="0"/>
        <w:keepLines w:val="0"/>
        <w:pageBreakBefore w:val="0"/>
        <w:kinsoku/>
        <w:wordWrap w:val="0"/>
        <w:overflowPunct/>
        <w:topLinePunct w:val="0"/>
        <w:autoSpaceDE/>
        <w:autoSpaceDN/>
        <w:bidi w:val="0"/>
        <w:adjustRightInd/>
        <w:snapToGrid/>
        <w:spacing w:line="57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（一）强化组织领导。各县区、各单位要进一步提高思想认识，深刻认识推行招标投标“三盲评审”的重要意义，细化举措、完善制度，强化落实，确保实效。</w:t>
      </w:r>
    </w:p>
    <w:p>
      <w:pPr>
        <w:keepNext w:val="0"/>
        <w:keepLines w:val="0"/>
        <w:pageBreakBefore w:val="0"/>
        <w:kinsoku/>
        <w:wordWrap w:val="0"/>
        <w:overflowPunct/>
        <w:topLinePunct w:val="0"/>
        <w:autoSpaceDE/>
        <w:autoSpaceDN/>
        <w:bidi w:val="0"/>
        <w:adjustRightInd/>
        <w:snapToGrid/>
        <w:spacing w:line="57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强化沟通协调。各县区、各单位要加强“三盲评审”的宣贯工作，通过行业协会、官网公告等渠道，解读“三盲”评审政策，指导企业规范编制暗标，进一步明晰流程、红线与格式标准；要加强沟通交流，及时总结推广典型经验做法；市公共资源交易中心要抓紧优化系统支撑，加快电子招投标平台迭代升级，完善AI辅助暗标违规识别功能，自动筛查标书身份标识，加强统筹协调，及时解决推行过程中遇到难点和问题，推动评审措施落地见效。</w:t>
      </w:r>
    </w:p>
    <w:p>
      <w:pPr>
        <w:keepNext w:val="0"/>
        <w:keepLines w:val="0"/>
        <w:pageBreakBefore w:val="0"/>
        <w:kinsoku/>
        <w:wordWrap/>
        <w:overflowPunct/>
        <w:topLinePunct w:val="0"/>
        <w:autoSpaceDE/>
        <w:autoSpaceDN/>
        <w:bidi w:val="0"/>
        <w:adjustRightInd/>
        <w:snapToGrid/>
        <w:spacing w:line="570" w:lineRule="exact"/>
        <w:ind w:firstLine="64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（三）强化督导检查。市发改委组织牵头，各行政监督部门配合对推行招标投标“三盲评审”工作进行督导检查，发现问题及时督促整改，定期通报未落实三盲评审典型案例，压实各方主体责任。</w:t>
      </w:r>
    </w:p>
    <w:p>
      <w:pPr>
        <w:keepNext w:val="0"/>
        <w:keepLines w:val="0"/>
        <w:pageBreakBefore w:val="0"/>
        <w:kinsoku/>
        <w:wordWrap/>
        <w:overflowPunct/>
        <w:topLinePunct w:val="0"/>
        <w:autoSpaceDE/>
        <w:autoSpaceDN/>
        <w:bidi w:val="0"/>
        <w:adjustRightInd/>
        <w:snapToGrid/>
        <w:spacing w:line="570" w:lineRule="exact"/>
        <w:ind w:firstLine="640"/>
        <w:jc w:val="left"/>
        <w:textAlignment w:val="auto"/>
        <w:rPr>
          <w:rFonts w:hint="eastAsia" w:ascii="仿宋_GB2312" w:hAnsi="仿宋_GB2312" w:eastAsia="仿宋_GB2312" w:cs="仿宋_GB2312"/>
          <w:sz w:val="32"/>
          <w:szCs w:val="32"/>
          <w:lang w:val="en-US" w:eastAsia="zh-CN"/>
        </w:rPr>
      </w:pPr>
    </w:p>
    <w:p>
      <w:pPr>
        <w:keepNext w:val="0"/>
        <w:keepLines w:val="0"/>
        <w:pageBreakBefore w:val="0"/>
        <w:kinsoku/>
        <w:wordWrap w:val="0"/>
        <w:overflowPunct/>
        <w:topLinePunct w:val="0"/>
        <w:autoSpaceDE/>
        <w:autoSpaceDN/>
        <w:bidi w:val="0"/>
        <w:adjustRightInd/>
        <w:snapToGrid/>
        <w:spacing w:line="570" w:lineRule="exact"/>
        <w:ind w:firstLine="4480" w:firstLineChars="1400"/>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192C9233-F8E8-48CF-B90D-BC78EBDB646D}"/>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embedRegular r:id="rId2" w:fontKey="{87E0E8E8-87A8-42FA-A89C-282A94931CF9}"/>
  </w:font>
  <w:font w:name="方正小标宋简体">
    <w:panose1 w:val="02010601030101010101"/>
    <w:charset w:val="86"/>
    <w:family w:val="auto"/>
    <w:pitch w:val="default"/>
    <w:sig w:usb0="00000001" w:usb1="080E0000" w:usb2="00000000" w:usb3="00000000" w:csb0="00040000" w:csb1="00000000"/>
    <w:embedRegular r:id="rId3" w:fontKey="{B3D23123-D83A-4D6F-833D-085B9910F698}"/>
  </w:font>
  <w:font w:name="仿宋_GB2312">
    <w:panose1 w:val="02010609030101010101"/>
    <w:charset w:val="86"/>
    <w:family w:val="auto"/>
    <w:pitch w:val="default"/>
    <w:sig w:usb0="00000001" w:usb1="080E0000" w:usb2="00000000" w:usb3="00000000" w:csb0="00040000" w:csb1="00000000"/>
    <w:embedRegular r:id="rId4" w:fontKey="{36761DD6-28EA-4FD8-A53D-B12BEE6B736A}"/>
  </w:font>
  <w:font w:name="楷体_GB2312">
    <w:panose1 w:val="02010609030101010101"/>
    <w:charset w:val="86"/>
    <w:family w:val="auto"/>
    <w:pitch w:val="default"/>
    <w:sig w:usb0="00000000" w:usb1="00000000" w:usb2="00000000" w:usb3="00000000" w:csb0="00000000" w:csb1="00000000"/>
    <w:embedRegular r:id="rId5" w:fontKey="{4874B542-E495-42AA-BF4E-AB1887A98791}"/>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5A1868A"/>
    <w:multiLevelType w:val="singleLevel"/>
    <w:tmpl w:val="D5A1868A"/>
    <w:lvl w:ilvl="0" w:tentative="0">
      <w:start w:val="2"/>
      <w:numFmt w:val="chineseCounting"/>
      <w:suff w:val="nothing"/>
      <w:lvlText w:val="（%1）"/>
      <w:lvlJc w:val="left"/>
      <w:rPr>
        <w:rFonts w:hint="eastAsia"/>
      </w:rPr>
    </w:lvl>
  </w:abstractNum>
  <w:abstractNum w:abstractNumId="1">
    <w:nsid w:val="18E580F2"/>
    <w:multiLevelType w:val="singleLevel"/>
    <w:tmpl w:val="18E580F2"/>
    <w:lvl w:ilvl="0" w:tentative="0">
      <w:start w:val="6"/>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696F"/>
    <w:rsid w:val="00047FAC"/>
    <w:rsid w:val="00065C59"/>
    <w:rsid w:val="000908F6"/>
    <w:rsid w:val="000E350B"/>
    <w:rsid w:val="000F7FD7"/>
    <w:rsid w:val="00114327"/>
    <w:rsid w:val="00153F8C"/>
    <w:rsid w:val="001D28DA"/>
    <w:rsid w:val="002479E7"/>
    <w:rsid w:val="002D0C82"/>
    <w:rsid w:val="00325303"/>
    <w:rsid w:val="00333E57"/>
    <w:rsid w:val="003357AC"/>
    <w:rsid w:val="00402160"/>
    <w:rsid w:val="004A14D3"/>
    <w:rsid w:val="00506E5C"/>
    <w:rsid w:val="00523B4F"/>
    <w:rsid w:val="00525AB1"/>
    <w:rsid w:val="005651CD"/>
    <w:rsid w:val="00575746"/>
    <w:rsid w:val="00580984"/>
    <w:rsid w:val="005D62EA"/>
    <w:rsid w:val="00651B31"/>
    <w:rsid w:val="006755FC"/>
    <w:rsid w:val="007043B1"/>
    <w:rsid w:val="00710C99"/>
    <w:rsid w:val="00733C74"/>
    <w:rsid w:val="00742F13"/>
    <w:rsid w:val="00766F3C"/>
    <w:rsid w:val="007835F3"/>
    <w:rsid w:val="00785635"/>
    <w:rsid w:val="00791191"/>
    <w:rsid w:val="007B12F8"/>
    <w:rsid w:val="007C696F"/>
    <w:rsid w:val="007D254C"/>
    <w:rsid w:val="007E7E76"/>
    <w:rsid w:val="007F7535"/>
    <w:rsid w:val="00815FA6"/>
    <w:rsid w:val="008646DC"/>
    <w:rsid w:val="00871964"/>
    <w:rsid w:val="00882B93"/>
    <w:rsid w:val="00885EBF"/>
    <w:rsid w:val="008D5368"/>
    <w:rsid w:val="008E359E"/>
    <w:rsid w:val="009A4BF2"/>
    <w:rsid w:val="00A679E9"/>
    <w:rsid w:val="00A9330C"/>
    <w:rsid w:val="00C0120E"/>
    <w:rsid w:val="00C5487F"/>
    <w:rsid w:val="00C65F4A"/>
    <w:rsid w:val="00CC4BD7"/>
    <w:rsid w:val="00CF047F"/>
    <w:rsid w:val="00D17DD6"/>
    <w:rsid w:val="00D55C0D"/>
    <w:rsid w:val="00D853DB"/>
    <w:rsid w:val="00D9535E"/>
    <w:rsid w:val="00DB2F0E"/>
    <w:rsid w:val="00DB6234"/>
    <w:rsid w:val="00DF46A2"/>
    <w:rsid w:val="00E13425"/>
    <w:rsid w:val="00E17943"/>
    <w:rsid w:val="00E22546"/>
    <w:rsid w:val="00E31EA7"/>
    <w:rsid w:val="00E75917"/>
    <w:rsid w:val="00EB5E2A"/>
    <w:rsid w:val="00F13FD1"/>
    <w:rsid w:val="00F47F5D"/>
    <w:rsid w:val="00F71478"/>
    <w:rsid w:val="00FE17A5"/>
    <w:rsid w:val="00FE3CAB"/>
    <w:rsid w:val="01160611"/>
    <w:rsid w:val="01CA5A5D"/>
    <w:rsid w:val="01FC6EBE"/>
    <w:rsid w:val="02163CB7"/>
    <w:rsid w:val="02E012CA"/>
    <w:rsid w:val="032F535C"/>
    <w:rsid w:val="033A749F"/>
    <w:rsid w:val="03A2704E"/>
    <w:rsid w:val="04556D28"/>
    <w:rsid w:val="04C61F52"/>
    <w:rsid w:val="04D855BF"/>
    <w:rsid w:val="051A6F66"/>
    <w:rsid w:val="05281683"/>
    <w:rsid w:val="0686090B"/>
    <w:rsid w:val="071C6827"/>
    <w:rsid w:val="075D2A55"/>
    <w:rsid w:val="076A4B6C"/>
    <w:rsid w:val="077B02EF"/>
    <w:rsid w:val="0A4D77F7"/>
    <w:rsid w:val="0B503C88"/>
    <w:rsid w:val="0BE8391A"/>
    <w:rsid w:val="0C6C5E46"/>
    <w:rsid w:val="0CD95E41"/>
    <w:rsid w:val="0CDD1F91"/>
    <w:rsid w:val="0D1A5EA5"/>
    <w:rsid w:val="0D6333C6"/>
    <w:rsid w:val="0D9E04AB"/>
    <w:rsid w:val="0E183263"/>
    <w:rsid w:val="0E1F1149"/>
    <w:rsid w:val="0E36048F"/>
    <w:rsid w:val="0FA83C65"/>
    <w:rsid w:val="0FC1682D"/>
    <w:rsid w:val="0FCD039F"/>
    <w:rsid w:val="0FD61CDB"/>
    <w:rsid w:val="102748C3"/>
    <w:rsid w:val="107E342F"/>
    <w:rsid w:val="10C2001D"/>
    <w:rsid w:val="10F63E0E"/>
    <w:rsid w:val="11A11B19"/>
    <w:rsid w:val="13342736"/>
    <w:rsid w:val="133B2073"/>
    <w:rsid w:val="13CD58C2"/>
    <w:rsid w:val="13FF271C"/>
    <w:rsid w:val="14454622"/>
    <w:rsid w:val="151F2E57"/>
    <w:rsid w:val="15766CC6"/>
    <w:rsid w:val="1606720E"/>
    <w:rsid w:val="16E33A0B"/>
    <w:rsid w:val="17233A58"/>
    <w:rsid w:val="173E6A6E"/>
    <w:rsid w:val="17614581"/>
    <w:rsid w:val="187C6E5E"/>
    <w:rsid w:val="18ED431E"/>
    <w:rsid w:val="1922312D"/>
    <w:rsid w:val="1AAC1FB7"/>
    <w:rsid w:val="1C8C6544"/>
    <w:rsid w:val="1C972C69"/>
    <w:rsid w:val="1D5C5250"/>
    <w:rsid w:val="1F230107"/>
    <w:rsid w:val="1F6E1F30"/>
    <w:rsid w:val="1F7E0D75"/>
    <w:rsid w:val="20023E27"/>
    <w:rsid w:val="207D0CE6"/>
    <w:rsid w:val="20B3111E"/>
    <w:rsid w:val="20CA3197"/>
    <w:rsid w:val="210D42A4"/>
    <w:rsid w:val="229643E0"/>
    <w:rsid w:val="22A55C69"/>
    <w:rsid w:val="22AF6AE8"/>
    <w:rsid w:val="22BF0B38"/>
    <w:rsid w:val="22C5630B"/>
    <w:rsid w:val="236F4C5C"/>
    <w:rsid w:val="23743869"/>
    <w:rsid w:val="244D65B8"/>
    <w:rsid w:val="25034EC9"/>
    <w:rsid w:val="25752974"/>
    <w:rsid w:val="264E183D"/>
    <w:rsid w:val="28240E15"/>
    <w:rsid w:val="294D666D"/>
    <w:rsid w:val="295C0BDB"/>
    <w:rsid w:val="2A086412"/>
    <w:rsid w:val="2A376F41"/>
    <w:rsid w:val="2A9E799B"/>
    <w:rsid w:val="2B5B3922"/>
    <w:rsid w:val="2B68235A"/>
    <w:rsid w:val="2B97636B"/>
    <w:rsid w:val="2C585454"/>
    <w:rsid w:val="2C8C2B6C"/>
    <w:rsid w:val="2C9A4365"/>
    <w:rsid w:val="2D177A5D"/>
    <w:rsid w:val="2D510C37"/>
    <w:rsid w:val="2D7D1352"/>
    <w:rsid w:val="2DC76001"/>
    <w:rsid w:val="2E8355C4"/>
    <w:rsid w:val="2EBA65EF"/>
    <w:rsid w:val="2F3A3BDD"/>
    <w:rsid w:val="31376972"/>
    <w:rsid w:val="3179279B"/>
    <w:rsid w:val="32315335"/>
    <w:rsid w:val="32BE205C"/>
    <w:rsid w:val="33304FDB"/>
    <w:rsid w:val="342B0A51"/>
    <w:rsid w:val="352379C5"/>
    <w:rsid w:val="35534653"/>
    <w:rsid w:val="35B40944"/>
    <w:rsid w:val="36160F00"/>
    <w:rsid w:val="36A476F5"/>
    <w:rsid w:val="36A77804"/>
    <w:rsid w:val="370A2E6A"/>
    <w:rsid w:val="371060AD"/>
    <w:rsid w:val="3748030D"/>
    <w:rsid w:val="37BF2D4E"/>
    <w:rsid w:val="37FB61AB"/>
    <w:rsid w:val="385B40EF"/>
    <w:rsid w:val="38C730A7"/>
    <w:rsid w:val="38CC4F5E"/>
    <w:rsid w:val="390E6CCC"/>
    <w:rsid w:val="3967773E"/>
    <w:rsid w:val="398A41CF"/>
    <w:rsid w:val="3A205DAE"/>
    <w:rsid w:val="3A56723A"/>
    <w:rsid w:val="3AF62589"/>
    <w:rsid w:val="3B01233C"/>
    <w:rsid w:val="3CE66B29"/>
    <w:rsid w:val="3D9B1D14"/>
    <w:rsid w:val="3E09134A"/>
    <w:rsid w:val="3E14121B"/>
    <w:rsid w:val="3E5C4114"/>
    <w:rsid w:val="3E6B1F14"/>
    <w:rsid w:val="3E892DA8"/>
    <w:rsid w:val="3EB37642"/>
    <w:rsid w:val="3EE87785"/>
    <w:rsid w:val="3F227628"/>
    <w:rsid w:val="3F5577BD"/>
    <w:rsid w:val="3FAB0C8D"/>
    <w:rsid w:val="401F09B1"/>
    <w:rsid w:val="4042271F"/>
    <w:rsid w:val="408E7083"/>
    <w:rsid w:val="40C75955"/>
    <w:rsid w:val="41E3565C"/>
    <w:rsid w:val="41E94B31"/>
    <w:rsid w:val="4209444D"/>
    <w:rsid w:val="423C2321"/>
    <w:rsid w:val="42BA4C46"/>
    <w:rsid w:val="42E03E18"/>
    <w:rsid w:val="434D1221"/>
    <w:rsid w:val="43A626AE"/>
    <w:rsid w:val="448B3C20"/>
    <w:rsid w:val="45194FE3"/>
    <w:rsid w:val="45817B63"/>
    <w:rsid w:val="459219B3"/>
    <w:rsid w:val="465935F7"/>
    <w:rsid w:val="46776325"/>
    <w:rsid w:val="46C45B0E"/>
    <w:rsid w:val="4715296F"/>
    <w:rsid w:val="47D34095"/>
    <w:rsid w:val="48971F78"/>
    <w:rsid w:val="494456F3"/>
    <w:rsid w:val="49CC7DFC"/>
    <w:rsid w:val="4A1C70B5"/>
    <w:rsid w:val="4AA61E9C"/>
    <w:rsid w:val="4AB25437"/>
    <w:rsid w:val="4AF45673"/>
    <w:rsid w:val="4B1F5D09"/>
    <w:rsid w:val="4B74344A"/>
    <w:rsid w:val="4BD2681F"/>
    <w:rsid w:val="4CA57F30"/>
    <w:rsid w:val="4CBF2081"/>
    <w:rsid w:val="4D0438CE"/>
    <w:rsid w:val="4D5C3245"/>
    <w:rsid w:val="4DEE7C71"/>
    <w:rsid w:val="4E3430AE"/>
    <w:rsid w:val="4EAA7EB6"/>
    <w:rsid w:val="4EC66A3A"/>
    <w:rsid w:val="4F0911AA"/>
    <w:rsid w:val="4F4D57D0"/>
    <w:rsid w:val="4FD25A40"/>
    <w:rsid w:val="4FF7412A"/>
    <w:rsid w:val="50106568"/>
    <w:rsid w:val="502B6EFE"/>
    <w:rsid w:val="508C1FD1"/>
    <w:rsid w:val="50D56EB5"/>
    <w:rsid w:val="51330FC1"/>
    <w:rsid w:val="51D955B9"/>
    <w:rsid w:val="51FB5160"/>
    <w:rsid w:val="529E1C09"/>
    <w:rsid w:val="52C22709"/>
    <w:rsid w:val="52ED41C0"/>
    <w:rsid w:val="52F35634"/>
    <w:rsid w:val="532D105D"/>
    <w:rsid w:val="536959D8"/>
    <w:rsid w:val="54D97334"/>
    <w:rsid w:val="55396B5E"/>
    <w:rsid w:val="55427DAC"/>
    <w:rsid w:val="556727ED"/>
    <w:rsid w:val="55F06C20"/>
    <w:rsid w:val="55F906A8"/>
    <w:rsid w:val="562C4B85"/>
    <w:rsid w:val="567F275B"/>
    <w:rsid w:val="568E7B60"/>
    <w:rsid w:val="573C2EFB"/>
    <w:rsid w:val="57E83927"/>
    <w:rsid w:val="57EC5278"/>
    <w:rsid w:val="57F1549A"/>
    <w:rsid w:val="59683A22"/>
    <w:rsid w:val="59996671"/>
    <w:rsid w:val="5A822032"/>
    <w:rsid w:val="5C1E5CBD"/>
    <w:rsid w:val="5C5F6656"/>
    <w:rsid w:val="5C805BD7"/>
    <w:rsid w:val="5CBF4D0C"/>
    <w:rsid w:val="5D4930BA"/>
    <w:rsid w:val="5E9379DA"/>
    <w:rsid w:val="5EA32331"/>
    <w:rsid w:val="5FAB0AFF"/>
    <w:rsid w:val="5FF87A04"/>
    <w:rsid w:val="606A6496"/>
    <w:rsid w:val="620D712C"/>
    <w:rsid w:val="64414D48"/>
    <w:rsid w:val="64AB70E2"/>
    <w:rsid w:val="64DE2C9F"/>
    <w:rsid w:val="655B28E5"/>
    <w:rsid w:val="655C0427"/>
    <w:rsid w:val="659E42A3"/>
    <w:rsid w:val="65C07C91"/>
    <w:rsid w:val="65FF85C4"/>
    <w:rsid w:val="66B62A77"/>
    <w:rsid w:val="67B856FF"/>
    <w:rsid w:val="684B4D74"/>
    <w:rsid w:val="68837525"/>
    <w:rsid w:val="69105E61"/>
    <w:rsid w:val="693D1D24"/>
    <w:rsid w:val="69701197"/>
    <w:rsid w:val="6A540292"/>
    <w:rsid w:val="6A587301"/>
    <w:rsid w:val="6A9D4EBE"/>
    <w:rsid w:val="6AC829E0"/>
    <w:rsid w:val="6B146C7B"/>
    <w:rsid w:val="6B4E1804"/>
    <w:rsid w:val="6BA05EF4"/>
    <w:rsid w:val="6BB76567"/>
    <w:rsid w:val="6C161FCD"/>
    <w:rsid w:val="6C7A4901"/>
    <w:rsid w:val="6D1A018D"/>
    <w:rsid w:val="6E1B2D67"/>
    <w:rsid w:val="6E613635"/>
    <w:rsid w:val="6E7C39AB"/>
    <w:rsid w:val="6E862396"/>
    <w:rsid w:val="70242863"/>
    <w:rsid w:val="70A450EE"/>
    <w:rsid w:val="70B7060E"/>
    <w:rsid w:val="711858C3"/>
    <w:rsid w:val="723D5704"/>
    <w:rsid w:val="72A5093A"/>
    <w:rsid w:val="72E44519"/>
    <w:rsid w:val="73B779AA"/>
    <w:rsid w:val="73BC418E"/>
    <w:rsid w:val="740C0E78"/>
    <w:rsid w:val="7427701C"/>
    <w:rsid w:val="744D364A"/>
    <w:rsid w:val="750306C9"/>
    <w:rsid w:val="75125A0C"/>
    <w:rsid w:val="75B30FC6"/>
    <w:rsid w:val="76676633"/>
    <w:rsid w:val="76BD0BED"/>
    <w:rsid w:val="77546454"/>
    <w:rsid w:val="78547742"/>
    <w:rsid w:val="78B45FC4"/>
    <w:rsid w:val="78F13953"/>
    <w:rsid w:val="7A323D0C"/>
    <w:rsid w:val="7AE60308"/>
    <w:rsid w:val="7B1B0780"/>
    <w:rsid w:val="7B873824"/>
    <w:rsid w:val="7B8A09B7"/>
    <w:rsid w:val="7BDA1655"/>
    <w:rsid w:val="7C214BB4"/>
    <w:rsid w:val="7C914B22"/>
    <w:rsid w:val="7D056BA5"/>
    <w:rsid w:val="7D2501F9"/>
    <w:rsid w:val="7DBF0BF8"/>
    <w:rsid w:val="7DCB7141"/>
    <w:rsid w:val="7E9B7993"/>
    <w:rsid w:val="7F4F5BD3"/>
    <w:rsid w:val="7F95388E"/>
    <w:rsid w:val="7FA75CF2"/>
    <w:rsid w:val="7FE61C5B"/>
    <w:rsid w:val="F77BD556"/>
    <w:rsid w:val="FF7C74D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qFormat/>
    <w:uiPriority w:val="0"/>
    <w:pPr>
      <w:keepNext/>
      <w:keepLines/>
      <w:spacing w:before="260" w:after="260" w:line="413" w:lineRule="auto"/>
      <w:outlineLvl w:val="1"/>
    </w:pPr>
    <w:rPr>
      <w:rFonts w:ascii="Arial" w:hAnsi="Arial" w:eastAsia="黑体"/>
      <w:b/>
      <w:bCs/>
      <w:sz w:val="32"/>
      <w:szCs w:val="32"/>
    </w:rPr>
  </w:style>
  <w:style w:type="character" w:default="1" w:styleId="7">
    <w:name w:val="Default Paragraph Font"/>
    <w:semiHidden/>
    <w:unhideWhenUsed/>
    <w:qFormat/>
    <w:uiPriority w:val="1"/>
  </w:style>
  <w:style w:type="table" w:default="1" w:styleId="8">
    <w:name w:val="Normal Table"/>
    <w:semiHidden/>
    <w:unhideWhenUsed/>
    <w:qFormat/>
    <w:uiPriority w:val="99"/>
    <w:tblPr>
      <w:tblLayout w:type="fixed"/>
      <w:tblCellMar>
        <w:top w:w="0" w:type="dxa"/>
        <w:left w:w="108" w:type="dxa"/>
        <w:bottom w:w="0" w:type="dxa"/>
        <w:right w:w="108" w:type="dxa"/>
      </w:tblCellMar>
    </w:tblPr>
  </w:style>
  <w:style w:type="paragraph" w:styleId="3">
    <w:name w:val="Body Text"/>
    <w:basedOn w:val="1"/>
    <w:semiHidden/>
    <w:qFormat/>
    <w:uiPriority w:val="0"/>
    <w:rPr>
      <w:rFonts w:ascii="仿宋" w:hAnsi="仿宋" w:eastAsia="仿宋" w:cs="仿宋"/>
      <w:sz w:val="29"/>
      <w:szCs w:val="29"/>
      <w:lang w:val="en-US" w:eastAsia="en-US" w:bidi="ar-SA"/>
    </w:rPr>
  </w:style>
  <w:style w:type="paragraph" w:styleId="4">
    <w:name w:val="footer"/>
    <w:basedOn w:val="1"/>
    <w:link w:val="10"/>
    <w:qFormat/>
    <w:uiPriority w:val="0"/>
    <w:pPr>
      <w:tabs>
        <w:tab w:val="center" w:pos="4153"/>
        <w:tab w:val="right" w:pos="8306"/>
      </w:tabs>
      <w:snapToGrid w:val="0"/>
      <w:jc w:val="left"/>
    </w:pPr>
    <w:rPr>
      <w:sz w:val="18"/>
      <w:szCs w:val="18"/>
    </w:rPr>
  </w:style>
  <w:style w:type="paragraph" w:styleId="5">
    <w:name w:val="header"/>
    <w:basedOn w:val="1"/>
    <w:link w:val="9"/>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uiPriority w:val="0"/>
    <w:pPr>
      <w:spacing w:before="0" w:beforeAutospacing="1" w:after="0" w:afterAutospacing="1"/>
      <w:ind w:left="0" w:right="0"/>
      <w:jc w:val="left"/>
    </w:pPr>
    <w:rPr>
      <w:kern w:val="0"/>
      <w:sz w:val="24"/>
      <w:lang w:val="en-US" w:eastAsia="zh-CN" w:bidi="ar"/>
    </w:rPr>
  </w:style>
  <w:style w:type="character" w:customStyle="1" w:styleId="9">
    <w:name w:val="页眉 Char"/>
    <w:basedOn w:val="7"/>
    <w:link w:val="5"/>
    <w:qFormat/>
    <w:uiPriority w:val="0"/>
    <w:rPr>
      <w:kern w:val="2"/>
      <w:sz w:val="18"/>
      <w:szCs w:val="18"/>
    </w:rPr>
  </w:style>
  <w:style w:type="character" w:customStyle="1" w:styleId="10">
    <w:name w:val="页脚 Char"/>
    <w:basedOn w:val="7"/>
    <w:link w:val="4"/>
    <w:qFormat/>
    <w:uiPriority w:val="0"/>
    <w:rPr>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9</Pages>
  <Words>3589</Words>
  <Characters>3712</Characters>
  <Lines>6</Lines>
  <Paragraphs>1</Paragraphs>
  <TotalTime>1</TotalTime>
  <ScaleCrop>false</ScaleCrop>
  <LinksUpToDate>false</LinksUpToDate>
  <CharactersWithSpaces>3807</CharactersWithSpaces>
  <Application>WPS Office_10.8.2.6837_F1E327BC-269C-435d-A152-05C5408002CA</Application>
  <DocSecurity>1</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2021-05-04T09:02:00Z</dcterms:created>
  <dc:creator>Administrator</dc:creator>
  <cp:lastModifiedBy>Acgeln</cp:lastModifiedBy>
  <cp:lastPrinted>2026-04-14T16:27:00Z</cp:lastPrinted>
  <dcterms:modified xsi:type="dcterms:W3CDTF">2026-08-11T07:32:57Z</dcterms:modified>
  <cp:revision>159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2052-10.8.2.6837</vt:lpwstr>
  </property>
  <property fmtid="{D5CDD505-2E9C-101B-9397-08002B2CF9AE}" pid="3" name="KSOTemplateDocerSaveRecord">
    <vt:lpwstr>eyJoZGlkIjoiNDlkZWE5M2IzMTYxMDY4MjJlNTAzZjhhNzZhNjU2MDQiLCJ1c2VySWQiOiIyMDg2OTY5MDkifQ==</vt:lpwstr>
  </property>
  <property fmtid="{D5CDD505-2E9C-101B-9397-08002B2CF9AE}" pid="4" name="ICV">
    <vt:lpwstr>D9FE35E226BB47FBBD9BDB76B9D99B4F_13</vt:lpwstr>
  </property>
</Properties>
</file>